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venir Next" w:hAnsi="Avenir Next" w:cs="Avenir Next"/>
          <w:sz w:val="22"/>
          <w:sz-cs w:val="22"/>
          <w:b/>
          <w:spacing w:val="0"/>
          <w:color w:val="BB5B1B"/>
        </w:rPr>
        <w:t xml:space="preserve">ДОКУМЕНТ УЧЕБНОГО ЦЕНТРА</w:t>
      </w:r>
      <w:r>
        <w:rPr>
          <w:rFonts w:ascii="Avenir Next" w:hAnsi="Avenir Next" w:cs="Avenir Next"/>
          <w:sz w:val="84"/>
          <w:sz-cs w:val="84"/>
          <w:b/>
          <w:spacing w:val="0"/>
          <w:color w:val="12100E"/>
        </w:rPr>
        <w:t xml:space="preserve"/>
      </w:r>
    </w:p>
    <w:p>
      <w:pPr>
        <w:spacing w:after="320"/>
      </w:pPr>
      <w:r>
        <w:rPr>
          <w:rFonts w:ascii="Avenir Next" w:hAnsi="Avenir Next" w:cs="Avenir Next"/>
          <w:sz w:val="84"/>
          <w:sz-cs w:val="84"/>
          <w:b/>
          <w:spacing w:val="0"/>
          <w:color w:val="12100E"/>
        </w:rPr>
        <w:t xml:space="preserve">Принципы организации учебной работы</w:t>
      </w:r>
    </w:p>
    <w:p>
      <w:pPr/>
      <w:r>
        <w:rPr>
          <w:rFonts w:ascii="Avenir Next" w:hAnsi="Avenir Next" w:cs="Avenir Next"/>
          <w:sz w:val="24"/>
          <w:sz-cs w:val="24"/>
          <w:spacing w:val="0"/>
          <w:color w:val="4C453E"/>
        </w:rPr>
        <w:t xml:space="preserve">СТАТУС</w:t>
      </w:r>
    </w:p>
    <w:p>
      <w:pPr/>
      <w:r>
        <w:rPr>
          <w:rFonts w:ascii="Avenir Next" w:hAnsi="Avenir Next" w:cs="Avenir Next"/>
          <w:sz w:val="30"/>
          <w:sz-cs w:val="30"/>
          <w:b/>
          <w:spacing w:val="0"/>
          <w:color w:val="12100E"/>
        </w:rPr>
        <w:t xml:space="preserve">Действующий документ</w:t>
      </w:r>
      <w:r>
        <w:rPr>
          <w:rFonts w:ascii="Avenir Next" w:hAnsi="Avenir Next" w:cs="Avenir Next"/>
          <w:sz w:val="24"/>
          <w:sz-cs w:val="24"/>
          <w:spacing w:val="0"/>
          <w:color w:val="12100E"/>
        </w:rPr>
        <w:t xml:space="preserve"/>
      </w:r>
    </w:p>
    <w:p>
      <w:pPr/>
      <w:r>
        <w:rPr>
          <w:rFonts w:ascii="Avenir Next" w:hAnsi="Avenir Next" w:cs="Avenir Next"/>
          <w:sz w:val="24"/>
          <w:sz-cs w:val="24"/>
          <w:spacing w:val="0"/>
          <w:color w:val="4C453E"/>
        </w:rPr>
        <w:t xml:space="preserve">УТВЕРЖДЕНИЕ</w:t>
      </w:r>
    </w:p>
    <w:p>
      <w:pPr/>
      <w:r>
        <w:rPr>
          <w:rFonts w:ascii="Avenir Next" w:hAnsi="Avenir Next" w:cs="Avenir Next"/>
          <w:sz w:val="30"/>
          <w:sz-cs w:val="30"/>
          <w:b/>
          <w:spacing w:val="0"/>
          <w:color w:val="12100E"/>
        </w:rPr>
        <w:t xml:space="preserve">Утверждено директором O. Teterez 23.05.2018, Tallinn</w:t>
      </w:r>
      <w:r>
        <w:rPr>
          <w:rFonts w:ascii="Avenir Next" w:hAnsi="Avenir Next" w:cs="Avenir Next"/>
          <w:sz w:val="24"/>
          <w:sz-cs w:val="24"/>
          <w:spacing w:val="0"/>
          <w:color w:val="12100E"/>
        </w:rPr>
        <w:t xml:space="preserve"/>
      </w:r>
    </w:p>
    <w:p>
      <w:pPr/>
      <w:r>
        <w:rPr>
          <w:rFonts w:ascii="Avenir Next" w:hAnsi="Avenir Next" w:cs="Avenir Next"/>
          <w:sz w:val="24"/>
          <w:sz-cs w:val="24"/>
          <w:spacing w:val="0"/>
          <w:color w:val="4C453E"/>
        </w:rPr>
        <w:t xml:space="preserve">ОБНОВЛЕНИЕ</w:t>
      </w:r>
    </w:p>
    <w:p>
      <w:pPr/>
      <w:r>
        <w:rPr>
          <w:rFonts w:ascii="Avenir Next" w:hAnsi="Avenir Next" w:cs="Avenir Next"/>
          <w:sz w:val="30"/>
          <w:sz-cs w:val="30"/>
          <w:b/>
          <w:spacing w:val="0"/>
          <w:color w:val="12100E"/>
        </w:rPr>
        <w:t xml:space="preserve">Обновлено 01.01.2024</w:t>
      </w:r>
      <w:r>
        <w:rPr>
          <w:rFonts w:ascii="Avenir Next" w:hAnsi="Avenir Next" w:cs="Avenir Next"/>
          <w:sz w:val="24"/>
          <w:sz-cs w:val="24"/>
          <w:spacing w:val="0"/>
          <w:color w:val="12100E"/>
        </w:rPr>
        <w:t xml:space="preserve"/>
      </w:r>
    </w:p>
    <w:p>
      <w:pPr>
        <w:spacing w:after="280"/>
      </w:pPr>
      <w:r>
        <w:rPr>
          <w:rFonts w:ascii="Avenir Next" w:hAnsi="Avenir Next" w:cs="Avenir Next"/>
          <w:sz w:val="56"/>
          <w:sz-cs w:val="56"/>
          <w:b/>
          <w:spacing w:val="0"/>
          <w:color w:val="12100E"/>
        </w:rPr>
        <w:t xml:space="preserve">1. Общие положения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1.1. Horeca Edu OÜ (регистрационный код 12379884) при организации дополнительного обучения руководствуется действующим законодательством в сфере образования взрослых, стандартом дополнительного обучения и связанными с ними нормативными актами и документами.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1.2. Учебный центр организует профессиональное дополнительное обучение для взрослых. Занятия проходят по адресу Sõle 3, Tallinn и Estonia pst 5a, 5 этаж, Tallinn, а при необходимости и в учебных помещениях партнёров.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1.3. Обучение проводится в формате платных групповых курсов, индивидуального обучения и проектных программ по календарю, опубликованному на сайте https://neurokool.ee/.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1.4. Объём обучения определяется учебной программой и расписанием. Учёт ведётся в академических часах, где один академический час составляет 45 минут.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1.5. Язык обучения в Horeca Edu OÜ: эстонский, русский или английский.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1.6. Основанием для обучения является учебная программа, в которой указаны как минимум название программы, учебная группа, результаты обучения, условия начала обучения, общий объём, содержание, описание учебной среды, условия завершения и выдаваемые документы, а также требования к квалификации или опыту преподавателя.</w:t>
      </w:r>
    </w:p>
    <w:p>
      <w:pPr>
        <w:spacing w:after="280"/>
      </w:pPr>
      <w:r>
        <w:rPr>
          <w:rFonts w:ascii="Avenir Next" w:hAnsi="Avenir Next" w:cs="Avenir Next"/>
          <w:sz w:val="56"/>
          <w:sz-cs w:val="56"/>
          <w:b/>
          <w:spacing w:val="0"/>
          <w:color w:val="12100E"/>
        </w:rPr>
        <w:t xml:space="preserve">2. Сбор и обработка персональных данных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2.1. Учебный центр собирает у участников следующие данные: имя, контактный телефон, адрес электронной почты и личный код. Личный код необходим для выдачи свидетельства или справки, а также для декларирования расходов на обучение в Налогово-таможенном департаменте.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2.2. Обработка персональных данных осуществляется в соответствии с Законом о защите персональных данных и Общим регламентом по защите данных.</w:t>
      </w:r>
    </w:p>
    <w:p>
      <w:pPr>
        <w:spacing w:after="280"/>
      </w:pPr>
      <w:r>
        <w:rPr>
          <w:rFonts w:ascii="Avenir Next" w:hAnsi="Avenir Next" w:cs="Avenir Next"/>
          <w:sz w:val="56"/>
          <w:sz-cs w:val="56"/>
          <w:b/>
          <w:spacing w:val="0"/>
          <w:color w:val="12100E"/>
        </w:rPr>
        <w:t xml:space="preserve">3. Регистрация на обучение и формирование группы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3.1. На обучение необходимо зарегистрироваться заранее. Сделать это можно через сайт https://neurokool.ee/, по электронной почте info@neurokool.ee, по телефону +372 54 555 888 или лично по адресу Sõle 3, Tallinn.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3.2. Участник имеет право получить дополнительную информацию у сотрудников Horeca Edu OÜ. Контакты размещаются на сайте https://neurokool.ee/.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3.3. Группа формируется в порядке регистрации, при этом учитывается выполнение предварительных условий, указанных в учебной программе.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3.4. Для начала обучения составляется список участников, который утверждается приказом директора.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3.5. Участник обязан в начале обучения ознакомиться с принципами организации учебной работы.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3.6. С участником заключается договор на обучение, за исключением клиентов Eesti Töötukassa.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3.6.1. Клиенты Eesti Töötukassa должны иметь подтверждающее письмо для начала обучения.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3.7. Если группа не набирается, Horeca Edu OÜ вправе отменить или перенести обучение до полного комплектования группы. Зарегистрированные участники уведомляются по телефону или электронной почте не позднее чем за один день.</w:t>
      </w:r>
    </w:p>
    <w:p>
      <w:pPr>
        <w:spacing w:after="280"/>
      </w:pPr>
      <w:r>
        <w:rPr>
          <w:rFonts w:ascii="Avenir Next" w:hAnsi="Avenir Next" w:cs="Avenir Next"/>
          <w:sz w:val="56"/>
          <w:sz-cs w:val="56"/>
          <w:b/>
          <w:spacing w:val="0"/>
          <w:color w:val="12100E"/>
        </w:rPr>
        <w:t xml:space="preserve">4. Начало обучения и участие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4.1. К занятиям допускаются участники, включённые в учебную группу приказом директора и, при необходимости, оплатившие обучение.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4.2. Посещение занятий подтверждается подписью участника в регистрационном листе.</w:t>
      </w:r>
    </w:p>
    <w:p>
      <w:pPr>
        <w:spacing w:after="280"/>
      </w:pPr>
      <w:r>
        <w:rPr>
          <w:rFonts w:ascii="Avenir Next" w:hAnsi="Avenir Next" w:cs="Avenir Next"/>
          <w:sz w:val="56"/>
          <w:sz-cs w:val="56"/>
          <w:b/>
          <w:spacing w:val="0"/>
          <w:color w:val="12100E"/>
        </w:rPr>
        <w:t xml:space="preserve">5. Оплата обучения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5.1. Оплата обучения производится на основании счёта. Счёт должен быть оплачен в указанный в нём срок.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5.2. Как правило, срок оплаты составляет 7 дней после первого занятия. При просрочке более 45 дней и после напоминаний неоплаченный счёт может быть передан в инкассо.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5.3. По договорённости возможна оплата в рассрочку. Размер платежей и сроки фиксируются в договоре на обучение.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5.4. По договорённости возможно освобождение от оплаты или предоставление скидки, например при обучении по заказу компании или учреждения.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5.5. Физическое лицо, оплачивающее обучение самостоятельно, имеет право ходатайствовать о возврате подоходного налога при подаче декларации, если обучение связано с получением профессиональных компетенций и соответствует требованиям законодательства.</w:t>
      </w:r>
    </w:p>
    <w:p>
      <w:pPr>
        <w:spacing w:after="280"/>
      </w:pPr>
      <w:r>
        <w:rPr>
          <w:rFonts w:ascii="Avenir Next" w:hAnsi="Avenir Next" w:cs="Avenir Next"/>
          <w:sz w:val="56"/>
          <w:sz-cs w:val="56"/>
          <w:b/>
          <w:spacing w:val="0"/>
          <w:color w:val="12100E"/>
        </w:rPr>
        <w:t xml:space="preserve">6. Отказ от обучения и прекращение участия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6.1. Если зарегистрированный участник не может принять участие в обучении, он обязан письменно уведомить организатора обучения на бумаге или по электронной почте.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6.2. При отказе от обучения возврат стоимости возможен после первого учебного дня, за исключением курсов объёмом до 8 часов. Заявление на возврат подаётся организатору обучения в письменной форме.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6.3. Участник исключается из группы либо по собственному заявлению, либо из-за неявки на занятия.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6.4. При прекращении обучения по инициативе участника стоимость обучения не возвращается.</w:t>
      </w:r>
    </w:p>
    <w:p>
      <w:pPr>
        <w:spacing w:after="280"/>
      </w:pPr>
      <w:r>
        <w:rPr>
          <w:rFonts w:ascii="Avenir Next" w:hAnsi="Avenir Next" w:cs="Avenir Next"/>
          <w:sz w:val="56"/>
          <w:sz-cs w:val="56"/>
          <w:b/>
          <w:spacing w:val="0"/>
          <w:color w:val="12100E"/>
        </w:rPr>
        <w:t xml:space="preserve">7. Практическая работа и практика в компании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7.1. Практическая работа в учебной кухне или классе проводится под руководством преподавателя и направлена на достижение конкретных учебных целей. Её задача — закрепить практические знания и навыки участника и помочь ему применить теоретические знания на практике.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7.2. Практика в компании является частью учебной программы и включает выполнение предусмотренных программой практических заданий в рабочей среде. Для её прохождения требуется предварительное завершение теоретической и практической части обучения в учебном центре. Практика регулируется трёхсторонним договором между учебным центром, компанией и участником. Участник ведёт дневник практики, а практика считается завершённой после сдачи необходимых документов и успешной защиты отчёта.</w:t>
      </w:r>
    </w:p>
    <w:p>
      <w:pPr>
        <w:spacing w:after="280"/>
      </w:pPr>
      <w:r>
        <w:rPr>
          <w:rFonts w:ascii="Avenir Next" w:hAnsi="Avenir Next" w:cs="Avenir Next"/>
          <w:sz w:val="56"/>
          <w:sz-cs w:val="56"/>
          <w:b/>
          <w:spacing w:val="0"/>
          <w:color w:val="12100E"/>
        </w:rPr>
        <w:t xml:space="preserve">8. Завершение обучения и порядок выдачи документов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8.1. Условия завершения обучения определяются учебной программой.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8.2. Свидетельство о завершении обучения выдаётся участнику, который прошёл оценивание результатов обучения и достиг всех результатов, предусмотренных программой, включая практику в компании, если она предусмотрена.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8.3. Участнику, не прошедшему оценивание или не выполнившему его успешно, выдаётся справка.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8.4. Свидетельства и справки подписываются директором. Документы могут выдаваться и в электронном виде.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8.5. Участнику, прервавшему обучение, по запросу выдается справка о количестве пройденных часов.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8.6. В свидетельстве или справке указываются как минимум: имя и личный код участника, название учебного центра и регистрационный код его владельца, регистрационный номер деятельности в EHIS, название программы, период и объём обучения, место и дата выдачи, номер документа и имена преподавателей.</w:t>
      </w:r>
    </w:p>
    <w:p>
      <w:pPr>
        <w:ind w:left="720" w:first-line="-720"/>
      </w:pPr>
      <w:r>
        <w:rPr>
          <w:rFonts w:ascii="Avenir Next" w:hAnsi="Avenir Next" w:cs="Avenir Next"/>
          <w:sz w:val="30"/>
          <w:sz-cs w:val="30"/>
          <w:color w:val="4C453E"/>
        </w:rPr>
        <w:t xml:space="preserve"/>
        <w:tab/>
        <w:t xml:space="preserve">•</w:t>
        <w:tab/>
        <w:t xml:space="preserve"/>
      </w: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8.7. По завершении обучения участник предоставляет обратную связь по курсу.</w:t>
      </w:r>
    </w:p>
    <w:p>
      <w:pPr>
        <w:spacing w:after="280"/>
      </w:pPr>
      <w:r>
        <w:rPr>
          <w:rFonts w:ascii="Avenir Next" w:hAnsi="Avenir Next" w:cs="Avenir Next"/>
          <w:sz w:val="56"/>
          <w:sz-cs w:val="56"/>
          <w:b/>
          <w:spacing w:val="0"/>
          <w:color w:val="12100E"/>
        </w:rPr>
        <w:t xml:space="preserve">9. Квалификация преподавателей</w:t>
      </w:r>
    </w:p>
    <w:p>
      <w:pPr>
        <w:spacing w:after="300"/>
      </w:pP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Преподаватели должны иметь профильное высшее образование и педагогическую подготовку либо активно работать в преподаваемой области и обладать подтверждаемым профессиональным опытом.</w:t>
      </w:r>
    </w:p>
    <w:p>
      <w:pPr>
        <w:spacing w:after="280"/>
      </w:pPr>
      <w:r>
        <w:rPr>
          <w:rFonts w:ascii="Avenir Next" w:hAnsi="Avenir Next" w:cs="Avenir Next"/>
          <w:sz w:val="56"/>
          <w:sz-cs w:val="56"/>
          <w:b/>
          <w:spacing w:val="0"/>
          <w:color w:val="12100E"/>
        </w:rPr>
        <w:t xml:space="preserve">10. Порядок разрешения споров</w:t>
      </w:r>
    </w:p>
    <w:p>
      <w:pPr>
        <w:spacing w:after="300"/>
      </w:pPr>
      <w:r>
        <w:rPr>
          <w:rFonts w:ascii="Avenir Next" w:hAnsi="Avenir Next" w:cs="Avenir Next"/>
          <w:sz w:val="30"/>
          <w:sz-cs w:val="30"/>
          <w:spacing w:val="0"/>
          <w:color w:val="4C453E"/>
        </w:rPr>
        <w:t xml:space="preserve">Разногласия между Horeca Edu OÜ и участником обучения стороны стремятся решать прежде всего путём переговоров. Если договориться не удаётся, спор рассматривается в Харьюском уездном суде.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CocoaOOXMLWriter/2685.4</generator>
</meta>
</file>