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venir Next" w:hAnsi="Avenir Next" w:cs="Avenir Next"/>
          <w:sz w:val="22"/>
          <w:sz-cs w:val="22"/>
          <w:b/>
          <w:spacing w:val="0"/>
          <w:color w:val="BB5B1B"/>
        </w:rPr>
        <w:t xml:space="preserve">ДОКУМЕНТ УЧЕБНОГО ЦЕНТРА</w:t>
      </w:r>
      <w:r>
        <w:rPr>
          <w:rFonts w:ascii="Avenir Next" w:hAnsi="Avenir Next" w:cs="Avenir Next"/>
          <w:sz w:val="84"/>
          <w:sz-cs w:val="84"/>
          <w:b/>
          <w:spacing w:val="0"/>
          <w:color w:val="12100E"/>
        </w:rPr>
        <w:t xml:space="preserve"/>
      </w:r>
    </w:p>
    <w:p>
      <w:pPr>
        <w:spacing w:after="320"/>
      </w:pPr>
      <w:r>
        <w:rPr>
          <w:rFonts w:ascii="Avenir Next" w:hAnsi="Avenir Next" w:cs="Avenir Next"/>
          <w:sz w:val="84"/>
          <w:sz-cs w:val="84"/>
          <w:b/>
          <w:spacing w:val="0"/>
          <w:color w:val="12100E"/>
        </w:rPr>
        <w:t xml:space="preserve">Принципы обеспечения качества</w:t>
      </w:r>
    </w:p>
    <w:p>
      <w:pPr/>
      <w:r>
        <w:rPr>
          <w:rFonts w:ascii="Avenir Next" w:hAnsi="Avenir Next" w:cs="Avenir Next"/>
          <w:sz w:val="24"/>
          <w:sz-cs w:val="24"/>
          <w:spacing w:val="0"/>
          <w:color w:val="4C453E"/>
        </w:rPr>
        <w:t xml:space="preserve">СТАТУС</w:t>
      </w:r>
    </w:p>
    <w:p>
      <w:pPr/>
      <w:r>
        <w:rPr>
          <w:rFonts w:ascii="Avenir Next" w:hAnsi="Avenir Next" w:cs="Avenir Next"/>
          <w:sz w:val="30"/>
          <w:sz-cs w:val="30"/>
          <w:b/>
          <w:spacing w:val="0"/>
          <w:color w:val="12100E"/>
        </w:rPr>
        <w:t xml:space="preserve">Действующий документ</w:t>
      </w:r>
      <w:r>
        <w:rPr>
          <w:rFonts w:ascii="Avenir Next" w:hAnsi="Avenir Next" w:cs="Avenir Next"/>
          <w:sz w:val="24"/>
          <w:sz-cs w:val="24"/>
          <w:spacing w:val="0"/>
          <w:color w:val="12100E"/>
        </w:rPr>
        <w:t xml:space="preserve"/>
      </w:r>
    </w:p>
    <w:p>
      <w:pPr/>
      <w:r>
        <w:rPr>
          <w:rFonts w:ascii="Avenir Next" w:hAnsi="Avenir Next" w:cs="Avenir Next"/>
          <w:sz w:val="24"/>
          <w:sz-cs w:val="24"/>
          <w:spacing w:val="0"/>
          <w:color w:val="4C453E"/>
        </w:rPr>
        <w:t xml:space="preserve">УТВЕРЖДЕНИЕ</w:t>
      </w:r>
    </w:p>
    <w:p>
      <w:pPr/>
      <w:r>
        <w:rPr>
          <w:rFonts w:ascii="Avenir Next" w:hAnsi="Avenir Next" w:cs="Avenir Next"/>
          <w:sz w:val="30"/>
          <w:sz-cs w:val="30"/>
          <w:b/>
          <w:spacing w:val="0"/>
          <w:color w:val="12100E"/>
        </w:rPr>
        <w:t xml:space="preserve">Утверждено директором O. Teterez 23.05.2018, Tallinn</w:t>
      </w:r>
      <w:r>
        <w:rPr>
          <w:rFonts w:ascii="Avenir Next" w:hAnsi="Avenir Next" w:cs="Avenir Next"/>
          <w:sz w:val="24"/>
          <w:sz-cs w:val="24"/>
          <w:spacing w:val="0"/>
          <w:color w:val="12100E"/>
        </w:rPr>
        <w:t xml:space="preserve"/>
      </w:r>
    </w:p>
    <w:p>
      <w:pPr/>
      <w:r>
        <w:rPr>
          <w:rFonts w:ascii="Avenir Next" w:hAnsi="Avenir Next" w:cs="Avenir Next"/>
          <w:sz w:val="24"/>
          <w:sz-cs w:val="24"/>
          <w:spacing w:val="0"/>
          <w:color w:val="4C453E"/>
        </w:rPr>
        <w:t xml:space="preserve">ОБНОВЛЕНИЕ</w:t>
      </w:r>
    </w:p>
    <w:p>
      <w:pPr/>
      <w:r>
        <w:rPr>
          <w:rFonts w:ascii="Avenir Next" w:hAnsi="Avenir Next" w:cs="Avenir Next"/>
          <w:sz w:val="30"/>
          <w:sz-cs w:val="30"/>
          <w:b/>
          <w:spacing w:val="0"/>
          <w:color w:val="12100E"/>
        </w:rPr>
        <w:t xml:space="preserve">Обновлено 01.01.2024</w:t>
      </w:r>
      <w:r>
        <w:rPr>
          <w:rFonts w:ascii="Avenir Next" w:hAnsi="Avenir Next" w:cs="Avenir Next"/>
          <w:sz w:val="24"/>
          <w:sz-cs w:val="24"/>
          <w:spacing w:val="0"/>
          <w:color w:val="12100E"/>
        </w:rPr>
        <w:t xml:space="preserve"/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1. Общие положения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1.1. Horeca Edu OÜ (регистрационный код 12379884) организует дополнительное обучение для взрослых.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1.2. Учебный центр при организации обучения руководствуется действующим законодательством в сфере образования взрослых и связанными с дополнительным обучением нормативными документами.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1.3. Документ по обеспечению качества пересматривается и дополняется не реже одного раза в год или по мере необходимости после завершения программ.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2. Обеспечение качества учебных программ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2.1. При разработке учебных программ учебный центр руководствуется Законом об обучении взрослых, стандартом дополнительного обучения и утверждёнными Министерством образования и науки методическими материалами.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2.2. Учебные программы строятся на потребностях конкретной целевой аудитории и ориентированы на результаты обучения. Программы регулярно, не реже одного раза в год, пересматриваются и при необходимости обновляются.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2.3. Открытые учебные программы публикуются на сайте https://neurokool.ee/ рядом с описанием курса. Для корпоративных программ порядок публикации определяется договорённостью с заказчиком.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2.4. В учебной программе фиксируются как минимум: название программы, учебная группа, цель обучения, основания для разработки программы, язык обучения, результаты обучения, требования к началу обучения, общий объём, содержание, организация практики, описание учебной среды, перечень учебных материалов, требования к завершению, методы и критерии оценивания, требования к квалификации преподавателя и дата утверждения программы.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2.5. Каждая программа ориентирована на практический результат и создаётся так, чтобы помогать целевой аудитории достигать измеримых и прикладных результатов.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3. Обеспечение качества преподавателей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3.1. Дополнительное обучение проводят преподаватели с профильным образованием и соответствующим профессиональным опытом.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3.2. Преподаватели, работающие в программах дополнительного обучения, имеют опыт обучения взрослых, а значительная часть преподавателей обладает профессиональной квалификацией преподавателя взрослых.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3.3. Специфические требования к преподавателям по каждой программе описываются в соответствующих учебных программах.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3.4. Качество работы преподавателей оценивается на основе обратной связи участников.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4. Обеспечение качества учебной среды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4.1. Обучение проходит в учебных классах Horeca Edu OÜ по адресу Vabaduse väljak 2, Tallinn или, при необходимости, в помещениях партнёров, подходящих для проведения занятий. Используемые учебные классы соответствуют требованиям охраны здоровья.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4.2. Все открытые курсы публикуются на сайте учебного центра до начала их проведения.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4.3. Во время обучения создаётся максимально поддерживающая учебная среда, а группы по возможности формируются с учётом сходных образовательных потребностей участников.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4.4. Все зарегистрированные участники до начала курса получают организационную информацию: расписание, сведения об аудиториях и другие важные детали.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4.5. Для каждого курса подготавливается учебная папка, которая пополняется в ходе программы печатными материалами или, при необходимости, электронными файлами.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5. Сбор обратной связи по обучению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5.1. Во время курса специалисты по обучению, руководители программ и преподаватели собирают устную обратную связь, на основе которой при необходимости оперативно вносятся изменения в организацию обучения.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5.2. В конце каждого курса участники заполняют форму обратной связи на бумаге или в электронном виде. Вопросы касаются организации обучения, содержания программы и работы преподавателей. Ответы анализируются совместно с преподавателями, а на основе результатов вносятся улучшения в последующие программы.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